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3E5CE" w14:textId="77777777" w:rsidR="002A74FB" w:rsidRPr="002A74FB" w:rsidRDefault="002A74FB" w:rsidP="005C2E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2A74FB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Кадастровая оценка земель, земельных участков по виду функционального использования земель</w:t>
      </w:r>
    </w:p>
    <w:p w14:paraId="2123CB63" w14:textId="77777777" w:rsidR="002A74FB" w:rsidRPr="002A74FB" w:rsidRDefault="002A74FB" w:rsidP="005C2E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proofErr w:type="gramStart"/>
      <w:r w:rsidRPr="002A74FB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”Общественно</w:t>
      </w:r>
      <w:proofErr w:type="gramEnd"/>
      <w:r w:rsidRPr="002A74FB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-деловая зона“</w:t>
      </w:r>
      <w:bookmarkStart w:id="0" w:name="_GoBack"/>
      <w:bookmarkEnd w:id="0"/>
    </w:p>
    <w:p w14:paraId="753E5FCC" w14:textId="77777777" w:rsidR="002A74FB" w:rsidRPr="002A74FB" w:rsidRDefault="002A74FB" w:rsidP="005C2E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 В период с января 2021 года по апрель 2022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”общественно-деловая зона“ (далее – кадастровая оценка) по состоянию на дату кадастровой оценки 01.07.2021 всей территории Республики Беларусь.</w:t>
      </w:r>
    </w:p>
    <w:p w14:paraId="74EE086C" w14:textId="77777777" w:rsidR="002A74FB" w:rsidRPr="002A74FB" w:rsidRDefault="002A74FB" w:rsidP="005C2E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 В регистр стоимости земель, земельных участков государственного земельного кадастра (далее – регистр стоимости) (</w:t>
      </w:r>
      <w:hyperlink r:id="rId5" w:history="1">
        <w:r w:rsidRPr="002A74FB">
          <w:rPr>
            <w:rFonts w:ascii="Arial" w:eastAsia="Times New Roman" w:hAnsi="Arial" w:cs="Arial"/>
            <w:b/>
            <w:bCs/>
            <w:color w:val="446FAF"/>
            <w:sz w:val="27"/>
            <w:szCs w:val="27"/>
            <w:u w:val="single"/>
            <w:lang w:eastAsia="ru-RU"/>
          </w:rPr>
          <w:t>www.vl.nca.by</w:t>
        </w:r>
      </w:hyperlink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) были внесены следующие результаты кадастровой оценки:</w:t>
      </w:r>
    </w:p>
    <w:tbl>
      <w:tblPr>
        <w:tblW w:w="9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117"/>
        <w:gridCol w:w="2269"/>
        <w:gridCol w:w="2239"/>
      </w:tblGrid>
      <w:tr w:rsidR="002A74FB" w:rsidRPr="002A74FB" w14:paraId="154B0DA0" w14:textId="77777777" w:rsidTr="002A74FB">
        <w:tc>
          <w:tcPr>
            <w:tcW w:w="70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C6060D" w14:textId="77777777" w:rsidR="002A74FB" w:rsidRPr="002A74FB" w:rsidRDefault="002A74FB" w:rsidP="005C2E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E31370" w14:textId="77777777" w:rsidR="002A74FB" w:rsidRPr="002A74FB" w:rsidRDefault="002A74FB" w:rsidP="005C2E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Оцениваемые земли</w:t>
            </w:r>
          </w:p>
        </w:tc>
        <w:tc>
          <w:tcPr>
            <w:tcW w:w="22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6D8D20" w14:textId="77777777" w:rsidR="002A74FB" w:rsidRPr="002A74FB" w:rsidRDefault="002A74FB" w:rsidP="005C2E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в регистр стоимости</w:t>
            </w:r>
          </w:p>
        </w:tc>
        <w:tc>
          <w:tcPr>
            <w:tcW w:w="223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BCB82" w14:textId="77777777" w:rsidR="002A74FB" w:rsidRPr="002A74FB" w:rsidRDefault="002A74FB" w:rsidP="005C2E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записи в регистре стоимости</w:t>
            </w:r>
          </w:p>
        </w:tc>
      </w:tr>
      <w:tr w:rsidR="002A74FB" w:rsidRPr="002A74FB" w14:paraId="4713F4AE" w14:textId="77777777" w:rsidTr="002A74FB">
        <w:tc>
          <w:tcPr>
            <w:tcW w:w="70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566CF7" w14:textId="77777777" w:rsidR="002A74FB" w:rsidRPr="002A74FB" w:rsidRDefault="002A74FB" w:rsidP="005C2E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9F48A0" w14:textId="77777777" w:rsidR="002A74FB" w:rsidRPr="002A74FB" w:rsidRDefault="002A74FB" w:rsidP="005C2E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Ошмяны</w:t>
            </w:r>
          </w:p>
        </w:tc>
        <w:tc>
          <w:tcPr>
            <w:tcW w:w="22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B1F692" w14:textId="77777777" w:rsidR="002A74FB" w:rsidRPr="002A74FB" w:rsidRDefault="002A74FB" w:rsidP="005C2E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22.06.2022</w:t>
            </w:r>
          </w:p>
        </w:tc>
        <w:tc>
          <w:tcPr>
            <w:tcW w:w="223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D0DB7" w14:textId="77777777" w:rsidR="002A74FB" w:rsidRPr="002A74FB" w:rsidRDefault="002A74FB" w:rsidP="005C2E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</w:t>
            </w:r>
          </w:p>
        </w:tc>
      </w:tr>
      <w:tr w:rsidR="002A74FB" w:rsidRPr="002A74FB" w14:paraId="0D626F35" w14:textId="77777777" w:rsidTr="002A74FB">
        <w:tc>
          <w:tcPr>
            <w:tcW w:w="70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9E90D3" w14:textId="77777777" w:rsidR="002A74FB" w:rsidRPr="002A74FB" w:rsidRDefault="002A74FB" w:rsidP="005C2E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26D1C8" w14:textId="77777777" w:rsidR="002A74FB" w:rsidRPr="002A74FB" w:rsidRDefault="002A74FB" w:rsidP="005C2E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населенные пункты</w:t>
            </w:r>
          </w:p>
        </w:tc>
        <w:tc>
          <w:tcPr>
            <w:tcW w:w="22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4ACB69" w14:textId="77777777" w:rsidR="002A74FB" w:rsidRPr="002A74FB" w:rsidRDefault="002A74FB" w:rsidP="005C2E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22.06.2022</w:t>
            </w:r>
          </w:p>
        </w:tc>
        <w:tc>
          <w:tcPr>
            <w:tcW w:w="223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A483F" w14:textId="77777777" w:rsidR="002A74FB" w:rsidRPr="002A74FB" w:rsidRDefault="002A74FB" w:rsidP="005C2E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5741</w:t>
            </w:r>
          </w:p>
        </w:tc>
      </w:tr>
      <w:tr w:rsidR="002A74FB" w:rsidRPr="002A74FB" w14:paraId="77669199" w14:textId="77777777" w:rsidTr="002A74FB">
        <w:tc>
          <w:tcPr>
            <w:tcW w:w="70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510153" w14:textId="77777777" w:rsidR="002A74FB" w:rsidRPr="002A74FB" w:rsidRDefault="002A74FB" w:rsidP="005C2E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AC820E" w14:textId="77777777" w:rsidR="002A74FB" w:rsidRPr="002A74FB" w:rsidRDefault="002A74FB" w:rsidP="005C2E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060FB4" w14:textId="77777777" w:rsidR="002A74FB" w:rsidRPr="002A74FB" w:rsidRDefault="002A74FB" w:rsidP="005C2E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22.06.2022</w:t>
            </w:r>
          </w:p>
        </w:tc>
        <w:tc>
          <w:tcPr>
            <w:tcW w:w="223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954436" w14:textId="77777777" w:rsidR="002A74FB" w:rsidRPr="002A74FB" w:rsidRDefault="002A74FB" w:rsidP="005C2E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5742</w:t>
            </w:r>
          </w:p>
        </w:tc>
      </w:tr>
    </w:tbl>
    <w:p w14:paraId="34EC8D73" w14:textId="77777777" w:rsidR="002A74FB" w:rsidRPr="002A74FB" w:rsidRDefault="002A74FB" w:rsidP="005C2E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  Основание: Инструкция о порядке ведения регистра стоимости земельных участков государственного земельного кадастра и выдачи информации из него, утвержденная постановлением Государственного комитета по имуществу Республики Беларусь от 03.06.2010 № 37; решение </w:t>
      </w:r>
      <w:bookmarkStart w:id="1" w:name="solutionName2"/>
      <w:bookmarkEnd w:id="1"/>
      <w:proofErr w:type="spellStart"/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Ошмянского</w:t>
      </w:r>
      <w:proofErr w:type="spellEnd"/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районного исполнительного комитета от 11.05.2022 № </w:t>
      </w:r>
      <w:proofErr w:type="gramStart"/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352 ”Об</w:t>
      </w:r>
      <w:proofErr w:type="gramEnd"/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установлении результатов кадастровой оценки земель </w:t>
      </w:r>
      <w:proofErr w:type="spellStart"/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Ошмянского</w:t>
      </w:r>
      <w:proofErr w:type="spellEnd"/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района“.</w:t>
      </w:r>
    </w:p>
    <w:p w14:paraId="71FB39C9" w14:textId="77777777" w:rsidR="002A74FB" w:rsidRPr="002A74FB" w:rsidRDefault="002A74FB" w:rsidP="005C2E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 С решением(</w:t>
      </w:r>
      <w:proofErr w:type="spellStart"/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ями</w:t>
      </w:r>
      <w:proofErr w:type="spellEnd"/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) можно ознакомиться на Национальном правовом Интернет-портале Республики Беларусь </w:t>
      </w:r>
      <w:hyperlink r:id="rId6" w:history="1">
        <w:r w:rsidRPr="002A74FB">
          <w:rPr>
            <w:rFonts w:ascii="Arial" w:eastAsia="Times New Roman" w:hAnsi="Arial" w:cs="Arial"/>
            <w:b/>
            <w:bCs/>
            <w:color w:val="446FAF"/>
            <w:sz w:val="27"/>
            <w:szCs w:val="27"/>
            <w:u w:val="single"/>
            <w:lang w:eastAsia="ru-RU"/>
          </w:rPr>
          <w:t>www.pravo.by</w:t>
        </w:r>
      </w:hyperlink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.</w:t>
      </w:r>
    </w:p>
    <w:p w14:paraId="4DE4B906" w14:textId="77777777" w:rsidR="002A74FB" w:rsidRPr="002A74FB" w:rsidRDefault="002A74FB" w:rsidP="005C2E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 После внесения результатов кадастровой оценки в регистр стоимости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 </w:t>
      </w:r>
      <w:r w:rsidRPr="002A74FB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www.vl.nca.by</w:t>
      </w: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.</w:t>
      </w:r>
    </w:p>
    <w:p w14:paraId="5A9AEF53" w14:textId="77777777" w:rsidR="002A74FB" w:rsidRPr="002A74FB" w:rsidRDefault="002A74FB" w:rsidP="005C2E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  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2023 </w:t>
      </w: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lastRenderedPageBreak/>
        <w:t>году будет использовать сведения, внесенные в регистр стоимости до 1 января 2023 года.</w:t>
      </w:r>
    </w:p>
    <w:p w14:paraId="04DC1C52" w14:textId="77777777" w:rsidR="002A74FB" w:rsidRPr="002A74FB" w:rsidRDefault="002A74FB" w:rsidP="005C2E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  Напоминаем, что также кадастровая стоимость земель, земельных участков используется в целях:</w:t>
      </w: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  <w:t>- определения размера платы за право заключения договоров аренды;</w:t>
      </w: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  <w:t>- установления начальных цен на аукционах;</w:t>
      </w: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  <w:t>- определения стоимости земельного участка, передаваемого в ипотеку;</w:t>
      </w: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  <w:t>- оценки недвижимого имущества (определения стоимости местоположения объекта недвижимости);</w:t>
      </w: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14:paraId="0B372F1D" w14:textId="77777777" w:rsidR="002A74FB" w:rsidRPr="002A74FB" w:rsidRDefault="002A74FB" w:rsidP="005C2E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 </w:t>
      </w:r>
      <w:r w:rsidRPr="002A74FB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Как можно оспорить кадастровую стоимость?</w:t>
      </w:r>
    </w:p>
    <w:p w14:paraId="5F171D49" w14:textId="77777777" w:rsidR="002A74FB" w:rsidRPr="002A74FB" w:rsidRDefault="002A74FB" w:rsidP="005C2E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 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 </w:t>
      </w:r>
      <w:proofErr w:type="spellStart"/>
      <w:r w:rsidRPr="002A74FB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шестимесяцев</w:t>
      </w:r>
      <w:proofErr w:type="spellEnd"/>
      <w:r w:rsidRPr="002A74FB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</w:t>
      </w:r>
      <w:proofErr w:type="spellStart"/>
      <w:r w:rsidRPr="002A74FB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сдаты</w:t>
      </w:r>
      <w:proofErr w:type="spellEnd"/>
      <w:r w:rsidRPr="002A74FB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внесения</w:t>
      </w: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 результатов кадастровой оценки в регистр стоимости. Обжалование результатов кадастровой оценки регулируется п. 17</w:t>
      </w: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  <w:t>ТКП 52.2.07-</w:t>
      </w:r>
      <w:proofErr w:type="gramStart"/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2018 ”Оценка</w:t>
      </w:r>
      <w:proofErr w:type="gramEnd"/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стоимости земельных участков“.</w:t>
      </w:r>
    </w:p>
    <w:p w14:paraId="14CB6ABD" w14:textId="77777777" w:rsidR="002A74FB" w:rsidRPr="002A74FB" w:rsidRDefault="002A74FB" w:rsidP="005C2E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  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”Об оценочной деятельности в Республике Беларусь“).</w:t>
      </w:r>
    </w:p>
    <w:p w14:paraId="5ACA99BE" w14:textId="77777777" w:rsidR="002A74FB" w:rsidRPr="002A74FB" w:rsidRDefault="002A74FB" w:rsidP="005C2E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 Независимая оценка рыночной стоимости в текущем использовании земельного участка проводится в ценах на дату проведения кадастровой оценки </w:t>
      </w:r>
      <w:r w:rsidRPr="002A74FB">
        <w:rPr>
          <w:rFonts w:ascii="Arial" w:eastAsia="Times New Roman" w:hAnsi="Arial" w:cs="Arial"/>
          <w:color w:val="393939"/>
          <w:sz w:val="27"/>
          <w:szCs w:val="27"/>
          <w:u w:val="single"/>
          <w:lang w:eastAsia="ru-RU"/>
        </w:rPr>
        <w:t>за счет средств землепользователя</w:t>
      </w: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</w:t>
      </w: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lastRenderedPageBreak/>
        <w:t>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14:paraId="2978F9FF" w14:textId="77777777" w:rsidR="002A74FB" w:rsidRPr="002A74FB" w:rsidRDefault="002A74FB" w:rsidP="005C2E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  В случае, если рыночная стоимость в текущем использовании земельного участка отличается </w:t>
      </w:r>
      <w:r w:rsidRPr="002A74FB">
        <w:rPr>
          <w:rFonts w:ascii="Arial" w:eastAsia="Times New Roman" w:hAnsi="Arial" w:cs="Arial"/>
          <w:color w:val="393939"/>
          <w:sz w:val="27"/>
          <w:szCs w:val="27"/>
          <w:u w:val="single"/>
          <w:lang w:eastAsia="ru-RU"/>
        </w:rPr>
        <w:t>на 15 и более процентов</w:t>
      </w: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 для земельных участков, расположенных в городе </w:t>
      </w:r>
      <w:r w:rsidRPr="002A74FB">
        <w:rPr>
          <w:rFonts w:ascii="Arial" w:eastAsia="Times New Roman" w:hAnsi="Arial" w:cs="Arial"/>
          <w:color w:val="393939"/>
          <w:sz w:val="27"/>
          <w:szCs w:val="27"/>
          <w:u w:val="single"/>
          <w:lang w:eastAsia="ru-RU"/>
        </w:rPr>
        <w:t>Минске и областных центрах</w:t>
      </w: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, и на </w:t>
      </w:r>
      <w:r w:rsidRPr="002A74FB">
        <w:rPr>
          <w:rFonts w:ascii="Arial" w:eastAsia="Times New Roman" w:hAnsi="Arial" w:cs="Arial"/>
          <w:color w:val="393939"/>
          <w:sz w:val="27"/>
          <w:szCs w:val="27"/>
          <w:u w:val="single"/>
          <w:lang w:eastAsia="ru-RU"/>
        </w:rPr>
        <w:t>20 и более процентов</w:t>
      </w: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 для земельных участков, расположенных в </w:t>
      </w:r>
      <w:r w:rsidRPr="002A74FB">
        <w:rPr>
          <w:rFonts w:ascii="Arial" w:eastAsia="Times New Roman" w:hAnsi="Arial" w:cs="Arial"/>
          <w:color w:val="393939"/>
          <w:sz w:val="27"/>
          <w:szCs w:val="27"/>
          <w:u w:val="single"/>
          <w:lang w:eastAsia="ru-RU"/>
        </w:rPr>
        <w:t>других</w:t>
      </w:r>
      <w:r w:rsidRPr="002A74FB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 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p w14:paraId="03E9EEA5" w14:textId="77777777" w:rsidR="000C2B8F" w:rsidRDefault="000C2B8F" w:rsidP="005C2ED8">
      <w:pPr>
        <w:jc w:val="both"/>
      </w:pPr>
    </w:p>
    <w:sectPr w:rsidR="000C2B8F" w:rsidSect="004029E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140B6"/>
    <w:multiLevelType w:val="multilevel"/>
    <w:tmpl w:val="98CE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A6"/>
    <w:rsid w:val="000C2B8F"/>
    <w:rsid w:val="002A74FB"/>
    <w:rsid w:val="004029ED"/>
    <w:rsid w:val="005C2ED8"/>
    <w:rsid w:val="0074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B7BAA"/>
  <w15:chartTrackingRefBased/>
  <w15:docId w15:val="{02E0DC2B-0EC8-4573-924A-CD6A7626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1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/" TargetMode="External"/><Relationship Id="rId5" Type="http://schemas.openxmlformats.org/officeDocument/2006/relationships/hyperlink" Target="http://www.vl.nca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Смоленская Инна</dc:creator>
  <cp:keywords/>
  <dc:description/>
  <cp:lastModifiedBy>Смоленская Инна</cp:lastModifiedBy>
  <cp:revision>3</cp:revision>
  <dcterms:created xsi:type="dcterms:W3CDTF">2025-09-15T09:06:00Z</dcterms:created>
  <dcterms:modified xsi:type="dcterms:W3CDTF">2025-09-15T09:11:00Z</dcterms:modified>
</cp:coreProperties>
</file>